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r w:rsidRPr="00244DEA">
        <w:rPr>
          <w:rFonts w:ascii="新細明體" w:hAnsi="新細明體" w:cs="新細明體"/>
          <w:color w:val="000000"/>
          <w:kern w:val="0"/>
          <w:sz w:val="28"/>
          <w:szCs w:val="28"/>
        </w:rPr>
        <w:fldChar w:fldCharType="begin"/>
      </w:r>
      <w:r w:rsidRPr="00244DEA">
        <w:rPr>
          <w:rFonts w:ascii="新細明體" w:hAnsi="新細明體" w:cs="新細明體"/>
          <w:color w:val="000000"/>
          <w:kern w:val="0"/>
          <w:sz w:val="28"/>
          <w:szCs w:val="28"/>
        </w:rPr>
        <w:instrText xml:space="preserve"> HYPERLINK "http://law.moj.gov.tw/Scripts/newsdetail.asp?no=1H0070019" </w:instrText>
      </w:r>
      <w:r w:rsidRPr="00244DEA">
        <w:rPr>
          <w:rFonts w:ascii="新細明體" w:hAnsi="新細明體" w:cs="新細明體"/>
          <w:color w:val="000000"/>
          <w:kern w:val="0"/>
          <w:sz w:val="28"/>
          <w:szCs w:val="28"/>
        </w:rPr>
        <w:fldChar w:fldCharType="separate"/>
      </w:r>
      <w:r w:rsidRPr="00244DEA">
        <w:rPr>
          <w:rFonts w:ascii="Times New Roman" w:hAnsi="Times New Roman" w:cs="新細明體" w:hint="eastAsia"/>
          <w:color w:val="0000FF"/>
          <w:kern w:val="0"/>
          <w:sz w:val="28"/>
          <w:u w:val="single"/>
        </w:rPr>
        <w:t>國民小學及國民中學學生成績評量準則</w:t>
      </w:r>
      <w:r w:rsidRPr="00244DEA">
        <w:rPr>
          <w:rFonts w:ascii="新細明體" w:hAnsi="新細明體" w:cs="新細明體"/>
          <w:color w:val="000000"/>
          <w:kern w:val="0"/>
          <w:sz w:val="28"/>
          <w:szCs w:val="28"/>
        </w:rPr>
        <w:fldChar w:fldCharType="end"/>
      </w:r>
      <w:r w:rsidRPr="00244DEA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t>(</w:t>
      </w:r>
      <w:r w:rsidRPr="00244DEA">
        <w:rPr>
          <w:rFonts w:ascii="Times New Roman" w:hAnsi="Times New Roman" w:cs="新細明體" w:hint="eastAsia"/>
          <w:color w:val="000000"/>
          <w:kern w:val="0"/>
          <w:szCs w:val="24"/>
        </w:rPr>
        <w:t>民國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t xml:space="preserve"> 95 </w:t>
      </w:r>
      <w:r w:rsidRPr="00244DEA">
        <w:rPr>
          <w:rFonts w:ascii="Times New Roman" w:hAnsi="Times New Roman" w:cs="新細明體" w:hint="eastAsia"/>
          <w:color w:val="000000"/>
          <w:kern w:val="0"/>
          <w:szCs w:val="24"/>
        </w:rPr>
        <w:t>年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t xml:space="preserve"> 05 </w:t>
      </w:r>
      <w:r w:rsidRPr="00244DEA">
        <w:rPr>
          <w:rFonts w:ascii="Times New Roman" w:hAnsi="Times New Roman" w:cs="新細明體" w:hint="eastAsia"/>
          <w:color w:val="000000"/>
          <w:kern w:val="0"/>
          <w:szCs w:val="24"/>
        </w:rPr>
        <w:t>月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t xml:space="preserve"> 10 </w:t>
      </w:r>
      <w:r w:rsidRPr="00244DEA">
        <w:rPr>
          <w:rFonts w:ascii="Times New Roman" w:hAnsi="Times New Roman" w:cs="新細明體" w:hint="eastAsia"/>
          <w:color w:val="000000"/>
          <w:kern w:val="0"/>
          <w:szCs w:val="24"/>
        </w:rPr>
        <w:t>日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t xml:space="preserve"> </w:t>
      </w:r>
      <w:r w:rsidRPr="00244DEA">
        <w:rPr>
          <w:rFonts w:ascii="Times New Roman" w:hAnsi="Times New Roman" w:cs="新細明體" w:hint="eastAsia"/>
          <w:color w:val="000000"/>
          <w:kern w:val="0"/>
          <w:szCs w:val="24"/>
        </w:rPr>
        <w:t>修正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t>)</w:t>
      </w:r>
      <w:r w:rsidRPr="00244DEA">
        <w:rPr>
          <w:rFonts w:ascii="新細明體" w:hAnsi="新細明體" w:cs="新細明體"/>
          <w:color w:val="000000"/>
          <w:kern w:val="0"/>
          <w:szCs w:val="24"/>
        </w:rPr>
        <w:br/>
      </w:r>
      <w:hyperlink r:id="rId6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1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本準則依國民教育法第十三條第一項規定訂定之。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7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2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國民小學及國民中學 (以下簡稱國民中小學) 學生成績評量旨在了解學生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學習情形，激發學生多元潛能，促進學生適性發展，肯定個別學習成就，並作為教師教學改進及學生學習輔導之依據。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8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3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國民中小學學生成績評量應依學習領域及日常生活表現，分別評量之，其評量範圍如下：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一、學習領域評量：依能力指標、學生努力程度、進步情形，兼顧認知、技能、情意等層面，並重視各領域學習結果之分析。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二、日常生活表現評量：學生出缺席情形、獎懲、日常行為表現、團體活動表現、公共服務及校內外特殊表現等。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9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4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國民中小學學生成績評量應本適性化、多元化之原則，兼顧形成性評量、總結性評量，必要時得實施診斷性評量及安置性評量。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0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5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國民中小學學生成績評量，分定期評量及平時評量二種；定期評量之次數，由直轄市、縣 (市) 主管教育行政機關定之。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1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6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成績評量，應視學生身心發展及個別差異，依各學習領域內容及活動性質，採取筆試、口試、表演、實作、作業、報告、資料蒐集整理、鑑賞、晤談、實踐等適當之多元評量方式，並得視實際需要，參酌學生自評、同儕互評辦理之。對於身心障礙學生之成績評量方式，應衡酌其學習優勢管道彈性調整之。前二項成績評量方式，由任課教師依教學計畫在學期初向學生及家長說明，並負責評量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2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7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lastRenderedPageBreak/>
        <w:t>國民中小學學生學習領域成績評量紀錄以量化紀錄為之；輔以文字描述時，應依評量內涵與結果予以說明，並提供具體建議。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前項量化紀錄得以百分制分數計之，至學期末應將其分數依下列基準轉換為等第：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一、優等：九十分以上。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二、甲等：八十分以上未滿九十分。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三、乙等：七十分以上未滿八十分。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四、丙等：六十分以上未滿七十分。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五、丁等：未滿六十分。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學生日常生活表現評量紀錄，應就第三條第二款所列項目，分別依行為事實記錄之，並酌予提供具體建議，不作綜合性評價及等第轉化。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3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8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國民中小學學生成績評量紀錄，每學期至少應以書面通知家長及學生一次；其次數、方式、內容，由直轄市、縣 (市) 主管教育行政機關定之。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4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 9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國民中小學學生修業期滿，成績及格，由學校發給畢業證書。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5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10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國民中小學學生成績評量結果及紀錄，應本保密及維護學生權益原則，非經學校、家長及學生本人同意，不得提供作為非教育之用。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6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11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 xml:space="preserve">國民中小學學生各項成績評量相關表冊，由直轄市、縣 (市) 主管教育行政機關定之。　</w:t>
      </w:r>
    </w:p>
    <w:p w:rsidR="00244DEA" w:rsidRPr="00244DEA" w:rsidRDefault="00244DEA" w:rsidP="00244DEA">
      <w:pPr>
        <w:widowControl/>
        <w:spacing w:before="100" w:beforeAutospacing="1" w:after="100" w:afterAutospacing="1"/>
        <w:rPr>
          <w:rFonts w:ascii="新細明體" w:hAnsi="新細明體" w:cs="新細明體"/>
          <w:color w:val="000000"/>
          <w:kern w:val="0"/>
          <w:szCs w:val="24"/>
        </w:rPr>
      </w:pPr>
      <w:hyperlink r:id="rId17" w:history="1"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第</w:t>
        </w:r>
        <w:r w:rsidRPr="00244DEA">
          <w:rPr>
            <w:rFonts w:ascii="新細明體" w:hAnsi="新細明體" w:cs="新細明體"/>
            <w:color w:val="0000FF"/>
            <w:kern w:val="0"/>
            <w:sz w:val="20"/>
            <w:u w:val="single"/>
          </w:rPr>
          <w:t xml:space="preserve">   12    </w:t>
        </w:r>
        <w:r w:rsidRPr="00244DEA">
          <w:rPr>
            <w:rFonts w:ascii="Times New Roman" w:hAnsi="Times New Roman" w:cs="新細明體" w:hint="eastAsia"/>
            <w:color w:val="0000FF"/>
            <w:kern w:val="0"/>
            <w:sz w:val="20"/>
            <w:u w:val="single"/>
          </w:rPr>
          <w:t>條</w:t>
        </w:r>
      </w:hyperlink>
      <w:r w:rsidRPr="00244DEA">
        <w:rPr>
          <w:rFonts w:ascii="新細明體" w:hAnsi="新細明體" w:cs="新細明體"/>
          <w:color w:val="000000"/>
          <w:kern w:val="0"/>
          <w:sz w:val="20"/>
          <w:szCs w:val="20"/>
        </w:rPr>
        <w:t xml:space="preserve"> 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本準則自中華民國九十年八月一日施行。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本準則修正條文自中華民國九十四年八月一日施行。</w:t>
      </w:r>
    </w:p>
    <w:p w:rsidR="00244DEA" w:rsidRPr="00244DEA" w:rsidRDefault="00244DEA" w:rsidP="00244D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244DEA">
        <w:rPr>
          <w:rFonts w:ascii="細明體" w:eastAsia="細明體" w:hAnsi="細明體" w:cs="細明體"/>
          <w:color w:val="000000"/>
          <w:kern w:val="0"/>
          <w:szCs w:val="24"/>
        </w:rPr>
        <w:t>本準則中華民國九十五年五月十日修正發布之條文，自中華民國九十五年八月一日施行。</w:t>
      </w:r>
    </w:p>
    <w:p w:rsidR="004303DF" w:rsidRPr="00244DEA" w:rsidRDefault="004303DF">
      <w:pPr>
        <w:rPr>
          <w:rFonts w:hint="eastAsia"/>
        </w:rPr>
      </w:pPr>
    </w:p>
    <w:sectPr w:rsidR="004303DF" w:rsidRPr="00244DEA" w:rsidSect="00430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B0" w:rsidRDefault="00CF77B0" w:rsidP="004D0222">
      <w:r>
        <w:separator/>
      </w:r>
    </w:p>
  </w:endnote>
  <w:endnote w:type="continuationSeparator" w:id="0">
    <w:p w:rsidR="00CF77B0" w:rsidRDefault="00CF77B0" w:rsidP="004D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B0" w:rsidRDefault="00CF77B0" w:rsidP="004D0222">
      <w:r>
        <w:separator/>
      </w:r>
    </w:p>
  </w:footnote>
  <w:footnote w:type="continuationSeparator" w:id="0">
    <w:p w:rsidR="00CF77B0" w:rsidRDefault="00CF77B0" w:rsidP="004D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DEA"/>
    <w:rsid w:val="00244DEA"/>
    <w:rsid w:val="004303DF"/>
    <w:rsid w:val="004D0222"/>
    <w:rsid w:val="005B42D7"/>
    <w:rsid w:val="00B86A9A"/>
    <w:rsid w:val="00C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4D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4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244DEA"/>
    <w:rPr>
      <w:rFonts w:ascii="細明體" w:eastAsia="細明體" w:hAnsi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D0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D022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D0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D02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Query1B.asp?no=1H00700193" TargetMode="External"/><Relationship Id="rId13" Type="http://schemas.openxmlformats.org/officeDocument/2006/relationships/hyperlink" Target="http://law.moj.gov.tw/Scripts/Query1B.asp?no=1H0070019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.moj.gov.tw/Scripts/Query1B.asp?no=1H00700192" TargetMode="External"/><Relationship Id="rId12" Type="http://schemas.openxmlformats.org/officeDocument/2006/relationships/hyperlink" Target="http://law.moj.gov.tw/Scripts/Query1B.asp?no=1H00700197" TargetMode="External"/><Relationship Id="rId17" Type="http://schemas.openxmlformats.org/officeDocument/2006/relationships/hyperlink" Target="http://law.moj.gov.tw/Scripts/Query1B.asp?no=1H0070019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.moj.gov.tw/Scripts/Query1B.asp?no=1H007001911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Scripts/Query1B.asp?no=1H00700191" TargetMode="External"/><Relationship Id="rId11" Type="http://schemas.openxmlformats.org/officeDocument/2006/relationships/hyperlink" Target="http://law.moj.gov.tw/Scripts/Query1B.asp?no=1H007001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.moj.gov.tw/Scripts/Query1B.asp?no=1H007001910" TargetMode="External"/><Relationship Id="rId10" Type="http://schemas.openxmlformats.org/officeDocument/2006/relationships/hyperlink" Target="http://law.moj.gov.tw/Scripts/Query1B.asp?no=1H0070019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.moj.gov.tw/Scripts/Query1B.asp?no=1H00700194" TargetMode="External"/><Relationship Id="rId14" Type="http://schemas.openxmlformats.org/officeDocument/2006/relationships/hyperlink" Target="http://law.moj.gov.tw/Scripts/Query1B.asp?no=1H007001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hcc</Company>
  <LinksUpToDate>false</LinksUpToDate>
  <CharactersWithSpaces>2194</CharactersWithSpaces>
  <SharedDoc>false</SharedDoc>
  <HLinks>
    <vt:vector size="78" baseType="variant">
      <vt:variant>
        <vt:i4>1703958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http://law.moj.gov.tw/Scripts/Query1B.asp?no=1H007001912</vt:lpwstr>
      </vt:variant>
      <vt:variant>
        <vt:lpwstr/>
      </vt:variant>
      <vt:variant>
        <vt:i4>1638422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http://law.moj.gov.tw/Scripts/Query1B.asp?no=1H007001911</vt:lpwstr>
      </vt:variant>
      <vt:variant>
        <vt:lpwstr/>
      </vt:variant>
      <vt:variant>
        <vt:i4>1572886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http://law.moj.gov.tw/Scripts/Query1B.asp?no=1H007001910</vt:lpwstr>
      </vt:variant>
      <vt:variant>
        <vt:lpwstr/>
      </vt:variant>
      <vt:variant>
        <vt:i4>2621479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http://law.moj.gov.tw/Scripts/Query1B.asp?no=1H00700199</vt:lpwstr>
      </vt:variant>
      <vt:variant>
        <vt:lpwstr/>
      </vt:variant>
      <vt:variant>
        <vt:i4>2621479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http://law.moj.gov.tw/Scripts/Query1B.asp?no=1H00700198</vt:lpwstr>
      </vt:variant>
      <vt:variant>
        <vt:lpwstr/>
      </vt:variant>
      <vt:variant>
        <vt:i4>2621479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http://law.moj.gov.tw/Scripts/Query1B.asp?no=1H00700197</vt:lpwstr>
      </vt:variant>
      <vt:variant>
        <vt:lpwstr/>
      </vt:variant>
      <vt:variant>
        <vt:i4>2621479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http://law.moj.gov.tw/Scripts/Query1B.asp?no=1H00700196</vt:lpwstr>
      </vt:variant>
      <vt:variant>
        <vt:lpwstr/>
      </vt:variant>
      <vt:variant>
        <vt:i4>2621479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http://law.moj.gov.tw/Scripts/Query1B.asp?no=1H00700195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http://law.moj.gov.tw/Scripts/Query1B.asp?no=1H00700194</vt:lpwstr>
      </vt:variant>
      <vt:variant>
        <vt:lpwstr/>
      </vt:variant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http://law.moj.gov.tw/Scripts/Query1B.asp?no=1H00700193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http://law.moj.gov.tw/Scripts/Query1B.asp?no=1H00700192</vt:lpwstr>
      </vt:variant>
      <vt:variant>
        <vt:lpwstr/>
      </vt:variant>
      <vt:variant>
        <vt:i4>2621479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http://law.moj.gov.tw/Scripts/Query1B.asp?no=1H00700191</vt:lpwstr>
      </vt:variant>
      <vt:variant>
        <vt:lpwstr/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http://law.moj.gov.tw/Scripts/newsdetail.asp?no=1H0070019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AE2210</dc:creator>
  <cp:lastModifiedBy>AE2210</cp:lastModifiedBy>
  <cp:revision>1</cp:revision>
  <dcterms:created xsi:type="dcterms:W3CDTF">2013-10-26T12:11:00Z</dcterms:created>
  <dcterms:modified xsi:type="dcterms:W3CDTF">2013-10-26T12:11:00Z</dcterms:modified>
</cp:coreProperties>
</file>