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364" w:rsidRPr="00B53364" w:rsidRDefault="00D26908" w:rsidP="00B53364">
      <w:pPr>
        <w:spacing w:beforeLines="50" w:before="180" w:afterLines="100" w:after="360" w:line="500" w:lineRule="exact"/>
        <w:jc w:val="center"/>
        <w:rPr>
          <w:rFonts w:ascii="標楷體" w:eastAsia="標楷體" w:hAnsi="標楷體" w:hint="eastAsia"/>
          <w:sz w:val="20"/>
        </w:rPr>
      </w:pPr>
      <w:bookmarkStart w:id="0" w:name="_GoBack"/>
      <w:r>
        <w:rPr>
          <w:rFonts w:ascii="標楷體" w:eastAsia="標楷體" w:hAnsi="標楷體" w:hint="eastAsia"/>
          <w:sz w:val="30"/>
          <w:szCs w:val="30"/>
        </w:rPr>
        <w:t>新竹縣國民小學及國民中學學生成績評量補充規定</w:t>
      </w:r>
      <w:bookmarkEnd w:id="0"/>
      <w:r w:rsidR="00B53364">
        <w:rPr>
          <w:rFonts w:ascii="標楷體" w:eastAsia="標楷體" w:hAnsi="標楷體" w:hint="eastAsia"/>
          <w:sz w:val="30"/>
          <w:szCs w:val="30"/>
        </w:rPr>
        <w:t xml:space="preserve"> </w:t>
      </w:r>
      <w:r w:rsidR="00B53364" w:rsidRPr="00B53364">
        <w:rPr>
          <w:rFonts w:ascii="標楷體" w:eastAsia="標楷體" w:hAnsi="標楷體" w:hint="eastAsia"/>
          <w:sz w:val="20"/>
        </w:rPr>
        <w:t>101.10.18</w:t>
      </w:r>
    </w:p>
    <w:p w:rsidR="00D26908" w:rsidRDefault="00D26908">
      <w:pPr>
        <w:pStyle w:val="a5"/>
        <w:rPr>
          <w:rFonts w:hint="eastAsia"/>
        </w:rPr>
      </w:pPr>
      <w:r>
        <w:rPr>
          <w:rFonts w:hint="eastAsia"/>
        </w:rPr>
        <w:t>一、本補充規定依據國民教育法第十三條第一項及</w:t>
      </w:r>
      <w:r w:rsidR="00B53364">
        <w:rPr>
          <w:rFonts w:hint="eastAsia"/>
        </w:rPr>
        <w:t>「</w:t>
      </w:r>
      <w:r>
        <w:rPr>
          <w:rFonts w:hint="eastAsia"/>
        </w:rPr>
        <w:t>國民小學及國民中學成績評量準則</w:t>
      </w:r>
      <w:r w:rsidR="00B53364">
        <w:rPr>
          <w:rFonts w:hint="eastAsia"/>
        </w:rPr>
        <w:t>」</w:t>
      </w:r>
      <w:r>
        <w:rPr>
          <w:rFonts w:hint="eastAsia"/>
        </w:rPr>
        <w:t>訂定之。</w:t>
      </w:r>
    </w:p>
    <w:p w:rsidR="00D26908" w:rsidRDefault="00D26908">
      <w:pPr>
        <w:spacing w:line="460" w:lineRule="exact"/>
        <w:ind w:left="608" w:hangingChars="234" w:hanging="608"/>
        <w:rPr>
          <w:rFonts w:ascii="標楷體" w:eastAsia="標楷體" w:hAnsi="標楷體" w:hint="eastAsia"/>
          <w:color w:val="000000"/>
          <w:sz w:val="28"/>
          <w:szCs w:val="28"/>
        </w:rPr>
      </w:pPr>
      <w:r>
        <w:rPr>
          <w:rFonts w:ascii="標楷體" w:eastAsia="標楷體" w:hAnsi="標楷體" w:hint="eastAsia"/>
          <w:sz w:val="26"/>
          <w:szCs w:val="26"/>
        </w:rPr>
        <w:t>二、</w:t>
      </w:r>
      <w:r>
        <w:rPr>
          <w:rFonts w:ascii="標楷體" w:eastAsia="標楷體" w:hAnsi="標楷體" w:hint="eastAsia"/>
          <w:color w:val="000000"/>
          <w:sz w:val="28"/>
          <w:szCs w:val="28"/>
        </w:rPr>
        <w:t>國民小學及國民中學(以下簡稱國民中小學)學生成績評量，以協助學生德智體群美五育均衡發展為目的，並具有下列功能：</w:t>
      </w:r>
    </w:p>
    <w:p w:rsidR="00D26908" w:rsidRDefault="00D26908">
      <w:pPr>
        <w:spacing w:line="460" w:lineRule="exact"/>
        <w:ind w:firstLineChars="150" w:firstLine="420"/>
        <w:jc w:val="both"/>
        <w:rPr>
          <w:rFonts w:ascii="標楷體" w:eastAsia="標楷體" w:hAnsi="標楷體" w:hint="eastAsia"/>
          <w:color w:val="000000"/>
          <w:sz w:val="28"/>
          <w:szCs w:val="28"/>
        </w:rPr>
      </w:pPr>
      <w:r>
        <w:rPr>
          <w:rFonts w:ascii="標楷體" w:eastAsia="標楷體" w:hAnsi="標楷體" w:hint="eastAsia"/>
          <w:color w:val="000000"/>
          <w:sz w:val="28"/>
          <w:szCs w:val="28"/>
        </w:rPr>
        <w:t>（一）學生據以瞭解自我表現，並調整學習方法與態度。</w:t>
      </w:r>
    </w:p>
    <w:p w:rsidR="00D26908" w:rsidRDefault="00D26908">
      <w:pPr>
        <w:spacing w:line="460" w:lineRule="exact"/>
        <w:ind w:firstLineChars="150" w:firstLine="420"/>
        <w:jc w:val="both"/>
        <w:rPr>
          <w:rFonts w:ascii="標楷體" w:eastAsia="標楷體" w:hAnsi="標楷體" w:hint="eastAsia"/>
          <w:color w:val="000000"/>
          <w:sz w:val="28"/>
          <w:szCs w:val="28"/>
        </w:rPr>
      </w:pPr>
      <w:r>
        <w:rPr>
          <w:rFonts w:ascii="標楷體" w:eastAsia="標楷體" w:hAnsi="標楷體" w:hint="eastAsia"/>
          <w:color w:val="000000"/>
          <w:sz w:val="28"/>
          <w:szCs w:val="28"/>
        </w:rPr>
        <w:t>（二）教師據以調整教學與評量方式，並輔導學生適性學習。</w:t>
      </w:r>
    </w:p>
    <w:p w:rsidR="00D26908" w:rsidRDefault="00D26908">
      <w:pPr>
        <w:spacing w:line="460" w:lineRule="exact"/>
        <w:ind w:firstLineChars="150" w:firstLine="420"/>
        <w:jc w:val="both"/>
        <w:rPr>
          <w:rFonts w:ascii="標楷體" w:eastAsia="標楷體" w:hAnsi="標楷體" w:hint="eastAsia"/>
          <w:color w:val="000000"/>
          <w:sz w:val="28"/>
          <w:szCs w:val="28"/>
        </w:rPr>
      </w:pPr>
      <w:r>
        <w:rPr>
          <w:rFonts w:ascii="標楷體" w:eastAsia="標楷體" w:hAnsi="標楷體" w:hint="eastAsia"/>
          <w:color w:val="000000"/>
          <w:sz w:val="28"/>
          <w:szCs w:val="28"/>
        </w:rPr>
        <w:t>（三）學校據以調整課程計畫，並針對學生需求安排激勵方案或補救教學。</w:t>
      </w:r>
    </w:p>
    <w:p w:rsidR="00D26908" w:rsidRDefault="00D26908">
      <w:pPr>
        <w:spacing w:line="460" w:lineRule="exact"/>
        <w:ind w:firstLineChars="150" w:firstLine="420"/>
        <w:jc w:val="both"/>
        <w:rPr>
          <w:rFonts w:ascii="標楷體" w:eastAsia="標楷體" w:hAnsi="標楷體" w:hint="eastAsia"/>
          <w:color w:val="000000"/>
          <w:sz w:val="28"/>
          <w:szCs w:val="28"/>
        </w:rPr>
      </w:pPr>
      <w:r>
        <w:rPr>
          <w:rFonts w:ascii="標楷體" w:eastAsia="標楷體" w:hAnsi="標楷體" w:hint="eastAsia"/>
          <w:color w:val="000000"/>
          <w:sz w:val="28"/>
          <w:szCs w:val="28"/>
        </w:rPr>
        <w:t>（四）家長據以瞭解學生學習表現，並與教師、學校共同督導學生有效學習。</w:t>
      </w:r>
    </w:p>
    <w:p w:rsidR="00D26908" w:rsidRDefault="00D26908">
      <w:pPr>
        <w:spacing w:line="460" w:lineRule="exact"/>
        <w:ind w:firstLineChars="150" w:firstLine="420"/>
        <w:jc w:val="both"/>
        <w:rPr>
          <w:rFonts w:ascii="標楷體" w:eastAsia="標楷體" w:hAnsi="標楷體" w:hint="eastAsia"/>
          <w:color w:val="000000"/>
          <w:sz w:val="28"/>
          <w:szCs w:val="28"/>
        </w:rPr>
      </w:pPr>
      <w:r>
        <w:rPr>
          <w:rFonts w:ascii="標楷體" w:eastAsia="標楷體" w:hAnsi="標楷體" w:hint="eastAsia"/>
          <w:color w:val="000000"/>
          <w:sz w:val="28"/>
          <w:szCs w:val="28"/>
        </w:rPr>
        <w:t>（五）</w:t>
      </w:r>
      <w:r>
        <w:rPr>
          <w:rFonts w:ascii="標楷體" w:eastAsia="標楷體" w:hAnsi="標楷體" w:hint="eastAsia"/>
          <w:sz w:val="28"/>
          <w:szCs w:val="28"/>
        </w:rPr>
        <w:t>本縣據以進行學習品質管控，並調整課程與教學政策。</w:t>
      </w:r>
    </w:p>
    <w:p w:rsidR="00D26908" w:rsidRDefault="00D26908">
      <w:pPr>
        <w:pStyle w:val="2"/>
        <w:adjustRightInd w:val="0"/>
        <w:snapToGrid w:val="0"/>
        <w:spacing w:line="500" w:lineRule="exact"/>
        <w:ind w:leftChars="0" w:firstLineChars="0" w:firstLine="0"/>
        <w:jc w:val="both"/>
        <w:rPr>
          <w:rFonts w:ascii="標楷體" w:hAnsi="標楷體"/>
          <w:kern w:val="2"/>
          <w:sz w:val="26"/>
          <w:szCs w:val="26"/>
        </w:rPr>
      </w:pPr>
      <w:r>
        <w:rPr>
          <w:rFonts w:ascii="標楷體" w:hAnsi="標楷體" w:hint="eastAsia"/>
          <w:kern w:val="2"/>
          <w:sz w:val="26"/>
          <w:szCs w:val="26"/>
        </w:rPr>
        <w:t>三、</w:t>
      </w:r>
      <w:r>
        <w:rPr>
          <w:rFonts w:hint="eastAsia"/>
        </w:rPr>
        <w:t>七大學習領域評量分為平時評量及定期評量，並依下列各款規定辦理：</w:t>
      </w:r>
    </w:p>
    <w:p w:rsidR="00D26908" w:rsidRDefault="00D26908">
      <w:pPr>
        <w:pStyle w:val="2"/>
        <w:adjustRightInd w:val="0"/>
        <w:snapToGrid w:val="0"/>
        <w:spacing w:line="500" w:lineRule="exact"/>
        <w:ind w:leftChars="0" w:left="780" w:hangingChars="300" w:hanging="780"/>
        <w:jc w:val="both"/>
        <w:rPr>
          <w:rFonts w:ascii="標楷體" w:hAnsi="標楷體" w:cs="細明體" w:hint="eastAsia"/>
          <w:sz w:val="26"/>
          <w:szCs w:val="26"/>
        </w:rPr>
      </w:pPr>
      <w:r>
        <w:rPr>
          <w:rFonts w:ascii="標楷體" w:hAnsi="標楷體" w:cs="細明體" w:hint="eastAsia"/>
          <w:sz w:val="26"/>
          <w:szCs w:val="26"/>
        </w:rPr>
        <w:t xml:space="preserve">　　（一）定期評量，每學期以三次為原則；由各學習領域課程小組擬定評量方式、實</w:t>
      </w:r>
    </w:p>
    <w:p w:rsidR="00D26908" w:rsidRDefault="00D26908">
      <w:pPr>
        <w:pStyle w:val="2"/>
        <w:adjustRightInd w:val="0"/>
        <w:snapToGrid w:val="0"/>
        <w:spacing w:line="500" w:lineRule="exact"/>
        <w:ind w:leftChars="0" w:left="780" w:hangingChars="300" w:hanging="780"/>
        <w:jc w:val="both"/>
        <w:rPr>
          <w:rFonts w:ascii="標楷體" w:hAnsi="標楷體" w:cs="細明體" w:hint="eastAsia"/>
          <w:sz w:val="26"/>
          <w:szCs w:val="26"/>
        </w:rPr>
      </w:pPr>
      <w:r>
        <w:rPr>
          <w:rFonts w:ascii="標楷體" w:hAnsi="標楷體" w:cs="細明體" w:hint="eastAsia"/>
          <w:sz w:val="26"/>
          <w:szCs w:val="26"/>
        </w:rPr>
        <w:t xml:space="preserve">　　　　　施日期及次數，送教務處彙辦，並經課程發展委員會審議通過後，於每學期</w:t>
      </w:r>
    </w:p>
    <w:p w:rsidR="00D26908" w:rsidRDefault="00D26908">
      <w:pPr>
        <w:pStyle w:val="2"/>
        <w:adjustRightInd w:val="0"/>
        <w:snapToGrid w:val="0"/>
        <w:spacing w:line="500" w:lineRule="exact"/>
        <w:ind w:leftChars="0" w:left="780" w:hangingChars="300" w:hanging="780"/>
        <w:jc w:val="both"/>
        <w:rPr>
          <w:rFonts w:ascii="標楷體" w:hAnsi="標楷體" w:cs="細明體" w:hint="eastAsia"/>
          <w:sz w:val="26"/>
          <w:szCs w:val="26"/>
        </w:rPr>
      </w:pPr>
      <w:r>
        <w:rPr>
          <w:rFonts w:ascii="標楷體" w:hAnsi="標楷體" w:cs="細明體" w:hint="eastAsia"/>
          <w:sz w:val="26"/>
          <w:szCs w:val="26"/>
        </w:rPr>
        <w:t xml:space="preserve">　　　　　初公布。</w:t>
      </w:r>
    </w:p>
    <w:p w:rsidR="00D26908" w:rsidRDefault="00D26908">
      <w:pPr>
        <w:pStyle w:val="2"/>
        <w:adjustRightInd w:val="0"/>
        <w:snapToGrid w:val="0"/>
        <w:spacing w:line="500" w:lineRule="exact"/>
        <w:ind w:leftChars="0" w:left="780" w:hangingChars="300" w:hanging="780"/>
        <w:jc w:val="both"/>
        <w:rPr>
          <w:rFonts w:ascii="標楷體" w:hAnsi="標楷體" w:hint="eastAsia"/>
          <w:sz w:val="26"/>
          <w:szCs w:val="26"/>
        </w:rPr>
      </w:pPr>
      <w:r>
        <w:rPr>
          <w:rFonts w:ascii="標楷體" w:hAnsi="標楷體" w:cs="細明體" w:hint="eastAsia"/>
          <w:sz w:val="26"/>
          <w:szCs w:val="26"/>
        </w:rPr>
        <w:t xml:space="preserve">　　（二）</w:t>
      </w:r>
      <w:r>
        <w:rPr>
          <w:rFonts w:ascii="標楷體" w:hAnsi="標楷體" w:hint="eastAsia"/>
          <w:sz w:val="26"/>
          <w:szCs w:val="26"/>
        </w:rPr>
        <w:t xml:space="preserve">平時評量之實施，應符合教學目標，採取多元化方式，並兼顧學生學習需求，　</w:t>
      </w:r>
    </w:p>
    <w:p w:rsidR="00D26908" w:rsidRDefault="00D26908">
      <w:pPr>
        <w:pStyle w:val="2"/>
        <w:adjustRightInd w:val="0"/>
        <w:snapToGrid w:val="0"/>
        <w:spacing w:line="500" w:lineRule="exact"/>
        <w:ind w:leftChars="0" w:left="1170" w:hangingChars="450" w:hanging="1170"/>
        <w:jc w:val="both"/>
        <w:rPr>
          <w:rFonts w:ascii="標楷體" w:hAnsi="標楷體" w:cs="細明體"/>
          <w:sz w:val="26"/>
          <w:szCs w:val="26"/>
        </w:rPr>
      </w:pPr>
      <w:r>
        <w:rPr>
          <w:rFonts w:ascii="標楷體" w:hAnsi="標楷體" w:hint="eastAsia"/>
          <w:sz w:val="26"/>
          <w:szCs w:val="26"/>
        </w:rPr>
        <w:t xml:space="preserve">　　　　 教師並得依學生學習現況自行命題。</w:t>
      </w:r>
      <w:r>
        <w:rPr>
          <w:rFonts w:ascii="標楷體" w:hAnsi="標楷體" w:cs="細明體" w:hint="eastAsia"/>
          <w:sz w:val="26"/>
          <w:szCs w:val="26"/>
        </w:rPr>
        <w:t>平時評量之方式、次數及時間，由教師審酌教學需求自定之。</w:t>
      </w:r>
    </w:p>
    <w:p w:rsidR="00D26908" w:rsidRDefault="00D26908">
      <w:pPr>
        <w:pStyle w:val="2"/>
        <w:adjustRightInd w:val="0"/>
        <w:snapToGrid w:val="0"/>
        <w:spacing w:line="500" w:lineRule="exact"/>
        <w:ind w:leftChars="0" w:left="780" w:hangingChars="300" w:hanging="780"/>
        <w:jc w:val="both"/>
        <w:rPr>
          <w:rFonts w:ascii="標楷體" w:hAnsi="標楷體" w:cs="細明體" w:hint="eastAsia"/>
          <w:sz w:val="26"/>
          <w:szCs w:val="26"/>
        </w:rPr>
      </w:pPr>
      <w:r>
        <w:rPr>
          <w:rFonts w:ascii="標楷體" w:hAnsi="標楷體" w:cs="細明體" w:hint="eastAsia"/>
          <w:sz w:val="26"/>
          <w:szCs w:val="26"/>
        </w:rPr>
        <w:t xml:space="preserve">　　（三）定期評量成績與平時評量成績各占學期成績百分之五十。</w:t>
      </w:r>
    </w:p>
    <w:p w:rsidR="00D26908" w:rsidRDefault="00D26908">
      <w:pPr>
        <w:pStyle w:val="2"/>
        <w:adjustRightInd w:val="0"/>
        <w:snapToGrid w:val="0"/>
        <w:spacing w:line="500" w:lineRule="exact"/>
        <w:ind w:leftChars="0" w:left="780" w:hangingChars="300" w:hanging="780"/>
        <w:jc w:val="both"/>
        <w:rPr>
          <w:rFonts w:ascii="標楷體" w:hAnsi="標楷體" w:cs="細明體" w:hint="eastAsia"/>
          <w:sz w:val="26"/>
          <w:szCs w:val="26"/>
        </w:rPr>
      </w:pPr>
      <w:r>
        <w:rPr>
          <w:rFonts w:ascii="標楷體" w:hAnsi="標楷體" w:cs="細明體" w:hint="eastAsia"/>
          <w:sz w:val="26"/>
          <w:szCs w:val="26"/>
        </w:rPr>
        <w:t xml:space="preserve">　　（四）七大學習領域之學期總平均成績，為各學習領域之學期成績乘以各該領域每</w:t>
      </w:r>
    </w:p>
    <w:p w:rsidR="00D26908" w:rsidRDefault="00D26908">
      <w:pPr>
        <w:pStyle w:val="2"/>
        <w:adjustRightInd w:val="0"/>
        <w:snapToGrid w:val="0"/>
        <w:spacing w:line="500" w:lineRule="exact"/>
        <w:ind w:leftChars="0" w:left="780" w:hangingChars="300" w:hanging="780"/>
        <w:jc w:val="both"/>
        <w:rPr>
          <w:rFonts w:ascii="標楷體" w:hAnsi="標楷體" w:cs="細明體" w:hint="eastAsia"/>
          <w:sz w:val="26"/>
          <w:szCs w:val="26"/>
        </w:rPr>
      </w:pPr>
      <w:r>
        <w:rPr>
          <w:rFonts w:ascii="標楷體" w:hAnsi="標楷體" w:cs="細明體" w:hint="eastAsia"/>
          <w:sz w:val="26"/>
          <w:szCs w:val="26"/>
        </w:rPr>
        <w:t xml:space="preserve">　　　　　週學習節數，所得總和再以每週學習領域總節數除之。</w:t>
      </w:r>
    </w:p>
    <w:p w:rsidR="00D26908" w:rsidRDefault="00D26908">
      <w:pPr>
        <w:widowControl/>
        <w:adjustRightInd w:val="0"/>
        <w:snapToGrid w:val="0"/>
        <w:spacing w:line="500" w:lineRule="exact"/>
        <w:ind w:left="780" w:hangingChars="300" w:hanging="780"/>
        <w:jc w:val="both"/>
        <w:rPr>
          <w:rFonts w:ascii="標楷體" w:eastAsia="標楷體" w:hAnsi="標楷體" w:cs="細明體" w:hint="eastAsia"/>
          <w:kern w:val="0"/>
          <w:sz w:val="26"/>
          <w:szCs w:val="26"/>
        </w:rPr>
      </w:pPr>
      <w:r>
        <w:rPr>
          <w:rFonts w:ascii="標楷體" w:eastAsia="標楷體" w:hAnsi="標楷體" w:cs="細明體" w:hint="eastAsia"/>
          <w:kern w:val="0"/>
          <w:sz w:val="26"/>
          <w:szCs w:val="26"/>
        </w:rPr>
        <w:t>四、日常生活表現評量紀錄，每學期至少一次，並由導師負責。</w:t>
      </w:r>
    </w:p>
    <w:p w:rsidR="00D26908" w:rsidRDefault="00D26908">
      <w:pPr>
        <w:widowControl/>
        <w:adjustRightInd w:val="0"/>
        <w:snapToGrid w:val="0"/>
        <w:spacing w:line="500" w:lineRule="exact"/>
        <w:ind w:left="520" w:hangingChars="200" w:hanging="520"/>
        <w:jc w:val="both"/>
        <w:rPr>
          <w:rFonts w:ascii="標楷體" w:eastAsia="標楷體" w:hAnsi="標楷體" w:cs="細明體" w:hint="eastAsia"/>
          <w:bCs/>
          <w:kern w:val="0"/>
          <w:sz w:val="26"/>
          <w:szCs w:val="26"/>
        </w:rPr>
      </w:pPr>
      <w:r>
        <w:rPr>
          <w:rFonts w:ascii="標楷體" w:eastAsia="標楷體" w:hAnsi="標楷體" w:cs="細明體" w:hint="eastAsia"/>
          <w:kern w:val="0"/>
          <w:sz w:val="26"/>
          <w:szCs w:val="26"/>
        </w:rPr>
        <w:t>五、國民中小學學生學習領域之成績評量結果未達及格基準者，應施以補救教學，並依教育部所定</w:t>
      </w:r>
      <w:r>
        <w:rPr>
          <w:rFonts w:ascii="標楷體" w:eastAsia="標楷體" w:hAnsi="標楷體" w:cs="細明體" w:hint="eastAsia"/>
          <w:bCs/>
          <w:kern w:val="0"/>
          <w:sz w:val="26"/>
          <w:szCs w:val="26"/>
        </w:rPr>
        <w:t>「國民小學及國民中學補救教學實施方案」規定辦理。</w:t>
      </w:r>
    </w:p>
    <w:p w:rsidR="00D26908" w:rsidRDefault="00D26908">
      <w:pPr>
        <w:widowControl/>
        <w:adjustRightInd w:val="0"/>
        <w:snapToGrid w:val="0"/>
        <w:spacing w:line="500" w:lineRule="exact"/>
        <w:ind w:left="478" w:hangingChars="184" w:hanging="478"/>
        <w:jc w:val="both"/>
        <w:rPr>
          <w:rFonts w:ascii="標楷體" w:eastAsia="標楷體" w:hAnsi="標楷體" w:cs="細明體" w:hint="eastAsia"/>
          <w:b/>
          <w:kern w:val="0"/>
          <w:sz w:val="26"/>
          <w:szCs w:val="26"/>
          <w:u w:val="single"/>
        </w:rPr>
      </w:pPr>
      <w:r>
        <w:rPr>
          <w:rFonts w:ascii="標楷體" w:eastAsia="標楷體" w:hAnsi="標楷體" w:cs="細明體" w:hint="eastAsia"/>
          <w:bCs/>
          <w:kern w:val="0"/>
          <w:sz w:val="26"/>
          <w:szCs w:val="26"/>
        </w:rPr>
        <w:t xml:space="preserve">　　學生各學習領域（科）評量之學期成績，被評定為丁等者，經補救教學措施後，成績評定及格者，該學習領域（科）學期成績應調整為六十分。</w:t>
      </w:r>
    </w:p>
    <w:p w:rsidR="00D26908" w:rsidRDefault="00D26908">
      <w:pPr>
        <w:widowControl/>
        <w:adjustRightInd w:val="0"/>
        <w:snapToGrid w:val="0"/>
        <w:spacing w:line="500" w:lineRule="exact"/>
        <w:ind w:left="478" w:hangingChars="184" w:hanging="478"/>
        <w:jc w:val="both"/>
        <w:rPr>
          <w:rFonts w:ascii="標楷體" w:eastAsia="標楷體" w:hAnsi="標楷體" w:cs="細明體"/>
          <w:kern w:val="0"/>
          <w:sz w:val="26"/>
          <w:szCs w:val="26"/>
        </w:rPr>
      </w:pPr>
      <w:r>
        <w:rPr>
          <w:rFonts w:ascii="標楷體" w:eastAsia="標楷體" w:hAnsi="標楷體" w:cs="細明體" w:hint="eastAsia"/>
          <w:kern w:val="0"/>
          <w:sz w:val="26"/>
          <w:szCs w:val="26"/>
        </w:rPr>
        <w:lastRenderedPageBreak/>
        <w:t>六、學校辦理學生定期評量時，對於准假缺考者，應於銷假後立即補考，並於學期成績結算前完成。無故缺考者，不得補考，其成績以零分計算。補考成績依下列規定計算：</w:t>
      </w:r>
    </w:p>
    <w:p w:rsidR="00D26908" w:rsidRDefault="00D26908">
      <w:pPr>
        <w:pStyle w:val="2"/>
        <w:adjustRightInd w:val="0"/>
        <w:snapToGrid w:val="0"/>
        <w:spacing w:line="500" w:lineRule="exact"/>
        <w:ind w:leftChars="0" w:left="780" w:hangingChars="300" w:hanging="780"/>
        <w:jc w:val="both"/>
        <w:rPr>
          <w:rFonts w:ascii="標楷體" w:hAnsi="標楷體" w:cs="細明體"/>
          <w:sz w:val="26"/>
          <w:szCs w:val="26"/>
        </w:rPr>
      </w:pPr>
      <w:r>
        <w:rPr>
          <w:rFonts w:ascii="標楷體" w:hAnsi="標楷體" w:cs="細明體" w:hint="eastAsia"/>
          <w:sz w:val="26"/>
          <w:szCs w:val="26"/>
        </w:rPr>
        <w:t xml:space="preserve">　　（一）因公、喪假、娩假或不可抗力事由缺考者，按實得分數計算。</w:t>
      </w:r>
    </w:p>
    <w:p w:rsidR="00D26908" w:rsidRDefault="00D26908">
      <w:pPr>
        <w:pStyle w:val="2"/>
        <w:adjustRightInd w:val="0"/>
        <w:snapToGrid w:val="0"/>
        <w:spacing w:line="500" w:lineRule="exact"/>
        <w:ind w:leftChars="0" w:left="780" w:hangingChars="300" w:hanging="780"/>
        <w:jc w:val="both"/>
        <w:rPr>
          <w:rFonts w:ascii="標楷體" w:hAnsi="標楷體" w:cs="細明體" w:hint="eastAsia"/>
          <w:sz w:val="26"/>
          <w:szCs w:val="26"/>
        </w:rPr>
      </w:pPr>
      <w:r>
        <w:rPr>
          <w:rFonts w:ascii="標楷體" w:hAnsi="標楷體" w:cs="細明體" w:hint="eastAsia"/>
          <w:sz w:val="26"/>
          <w:szCs w:val="26"/>
        </w:rPr>
        <w:t xml:space="preserve">　　（二）因病假缺考者，其成績在六十分以下者，依實得分數計算；超過六十分者，</w:t>
      </w:r>
    </w:p>
    <w:p w:rsidR="00D26908" w:rsidRDefault="00D26908">
      <w:pPr>
        <w:pStyle w:val="2"/>
        <w:adjustRightInd w:val="0"/>
        <w:snapToGrid w:val="0"/>
        <w:spacing w:line="500" w:lineRule="exact"/>
        <w:ind w:leftChars="0" w:left="780" w:hangingChars="300" w:hanging="780"/>
        <w:jc w:val="both"/>
        <w:rPr>
          <w:rFonts w:ascii="標楷體" w:hAnsi="標楷體" w:cs="細明體"/>
          <w:sz w:val="26"/>
          <w:szCs w:val="26"/>
        </w:rPr>
      </w:pPr>
      <w:r>
        <w:rPr>
          <w:rFonts w:ascii="標楷體" w:hAnsi="標楷體" w:cs="細明體" w:hint="eastAsia"/>
          <w:sz w:val="26"/>
          <w:szCs w:val="26"/>
        </w:rPr>
        <w:t xml:space="preserve">　　　　　其超過部分以百分之九十計算。</w:t>
      </w:r>
    </w:p>
    <w:p w:rsidR="00D26908" w:rsidRDefault="00D26908">
      <w:pPr>
        <w:pStyle w:val="2"/>
        <w:adjustRightInd w:val="0"/>
        <w:snapToGrid w:val="0"/>
        <w:spacing w:line="500" w:lineRule="exact"/>
        <w:ind w:leftChars="0" w:left="780" w:firstLineChars="0" w:hanging="780"/>
        <w:jc w:val="both"/>
        <w:rPr>
          <w:rFonts w:ascii="標楷體" w:hAnsi="標楷體" w:cs="細明體" w:hint="eastAsia"/>
          <w:sz w:val="26"/>
          <w:szCs w:val="26"/>
        </w:rPr>
      </w:pPr>
      <w:r>
        <w:rPr>
          <w:rFonts w:ascii="標楷體" w:hAnsi="標楷體" w:cs="細明體" w:hint="eastAsia"/>
          <w:sz w:val="26"/>
          <w:szCs w:val="26"/>
        </w:rPr>
        <w:t xml:space="preserve">　　（三）因事假缺考者，其成績在六十分以下者，依實得分數計算；超過六十分者，</w:t>
      </w:r>
    </w:p>
    <w:p w:rsidR="00D26908" w:rsidRDefault="00D26908">
      <w:pPr>
        <w:pStyle w:val="2"/>
        <w:adjustRightInd w:val="0"/>
        <w:snapToGrid w:val="0"/>
        <w:spacing w:line="500" w:lineRule="exact"/>
        <w:ind w:leftChars="0" w:left="780" w:firstLineChars="0" w:hanging="780"/>
        <w:jc w:val="both"/>
        <w:rPr>
          <w:rFonts w:ascii="標楷體" w:hAnsi="標楷體" w:cs="細明體" w:hint="eastAsia"/>
          <w:sz w:val="26"/>
          <w:szCs w:val="26"/>
        </w:rPr>
      </w:pPr>
      <w:r>
        <w:rPr>
          <w:rFonts w:ascii="標楷體" w:hAnsi="標楷體" w:cs="細明體" w:hint="eastAsia"/>
          <w:sz w:val="26"/>
          <w:szCs w:val="26"/>
        </w:rPr>
        <w:t xml:space="preserve">　　　　　其超過部分以百分之七十計算。</w:t>
      </w:r>
    </w:p>
    <w:p w:rsidR="00D26908" w:rsidRDefault="00D26908">
      <w:pPr>
        <w:widowControl/>
        <w:adjustRightInd w:val="0"/>
        <w:snapToGrid w:val="0"/>
        <w:spacing w:line="500" w:lineRule="exact"/>
        <w:ind w:left="478" w:hangingChars="184" w:hanging="478"/>
        <w:jc w:val="both"/>
        <w:rPr>
          <w:rFonts w:ascii="標楷體" w:eastAsia="標楷體" w:hAnsi="標楷體" w:cs="細明體" w:hint="eastAsia"/>
          <w:kern w:val="0"/>
          <w:sz w:val="26"/>
          <w:szCs w:val="26"/>
        </w:rPr>
      </w:pPr>
      <w:r>
        <w:rPr>
          <w:rFonts w:ascii="標楷體" w:eastAsia="標楷體" w:hAnsi="標楷體" w:cs="細明體" w:hint="eastAsia"/>
          <w:kern w:val="0"/>
          <w:sz w:val="26"/>
          <w:szCs w:val="26"/>
        </w:rPr>
        <w:t>七、國民中學為輔導學生升學所辦理之模擬升學測驗及教育會考，其成績不得納入學生評量成績計算。</w:t>
      </w:r>
    </w:p>
    <w:p w:rsidR="00D26908" w:rsidRDefault="00D26908">
      <w:pPr>
        <w:widowControl/>
        <w:adjustRightInd w:val="0"/>
        <w:snapToGrid w:val="0"/>
        <w:spacing w:line="500" w:lineRule="exact"/>
        <w:ind w:left="478" w:hangingChars="184" w:hanging="478"/>
        <w:jc w:val="both"/>
        <w:rPr>
          <w:rFonts w:ascii="標楷體" w:eastAsia="標楷體" w:hAnsi="標楷體" w:cs="細明體" w:hint="eastAsia"/>
          <w:kern w:val="0"/>
          <w:sz w:val="26"/>
          <w:szCs w:val="26"/>
        </w:rPr>
      </w:pPr>
      <w:r>
        <w:rPr>
          <w:rFonts w:ascii="標楷體" w:eastAsia="標楷體" w:hAnsi="標楷體" w:cs="細明體" w:hint="eastAsia"/>
          <w:kern w:val="0"/>
          <w:sz w:val="26"/>
          <w:szCs w:val="26"/>
        </w:rPr>
        <w:t>八、學生成績之登記及處理應資訊化，學習領域評量由教務處主辦；日常生活評量紀錄由學生事務處主辦；各任課教師及導師應配合辦理。</w:t>
      </w:r>
    </w:p>
    <w:p w:rsidR="00D26908" w:rsidRDefault="00D26908">
      <w:pPr>
        <w:widowControl/>
        <w:adjustRightInd w:val="0"/>
        <w:snapToGrid w:val="0"/>
        <w:spacing w:line="500" w:lineRule="exact"/>
        <w:ind w:left="478" w:hangingChars="184" w:hanging="478"/>
        <w:jc w:val="both"/>
        <w:rPr>
          <w:rFonts w:ascii="標楷體" w:eastAsia="標楷體" w:hAnsi="標楷體" w:cs="細明體" w:hint="eastAsia"/>
          <w:kern w:val="0"/>
          <w:sz w:val="26"/>
          <w:szCs w:val="26"/>
        </w:rPr>
      </w:pPr>
      <w:r>
        <w:rPr>
          <w:rFonts w:ascii="標楷體" w:eastAsia="標楷體" w:hAnsi="標楷體" w:cs="細明體" w:hint="eastAsia"/>
          <w:kern w:val="0"/>
          <w:sz w:val="26"/>
          <w:szCs w:val="26"/>
        </w:rPr>
        <w:t>九、學校應組成學生成績評量審查委員會（以下簡稱審查委員會），審查各項評量紀錄，並研議及審查學生成績評量之相關事宜。審查委員由教務主任召集，置委員五人至十七人，由學校行政人員代表、教師代表及家長會代表組成。</w:t>
      </w:r>
    </w:p>
    <w:p w:rsidR="00D26908" w:rsidRDefault="00D26908">
      <w:pPr>
        <w:widowControl/>
        <w:adjustRightInd w:val="0"/>
        <w:snapToGrid w:val="0"/>
        <w:spacing w:line="500" w:lineRule="exact"/>
        <w:ind w:left="478" w:hangingChars="184" w:hanging="478"/>
        <w:jc w:val="both"/>
        <w:rPr>
          <w:rFonts w:ascii="標楷體" w:eastAsia="標楷體" w:hAnsi="標楷體" w:cs="細明體" w:hint="eastAsia"/>
          <w:kern w:val="0"/>
          <w:sz w:val="26"/>
          <w:szCs w:val="26"/>
        </w:rPr>
      </w:pPr>
      <w:r>
        <w:rPr>
          <w:rFonts w:ascii="標楷體" w:eastAsia="標楷體" w:hAnsi="標楷體" w:cs="細明體" w:hint="eastAsia"/>
          <w:kern w:val="0"/>
          <w:sz w:val="26"/>
          <w:szCs w:val="26"/>
        </w:rPr>
        <w:t>十、學生每學期日常生活表現評量紀錄，經審查委員會評定為需輔導者，學校應由學生事務處及輔導處進行專案輔導。</w:t>
      </w:r>
    </w:p>
    <w:p w:rsidR="00D26908" w:rsidRDefault="00D26908">
      <w:pPr>
        <w:pStyle w:val="2"/>
        <w:adjustRightInd w:val="0"/>
        <w:snapToGrid w:val="0"/>
        <w:spacing w:line="500" w:lineRule="exact"/>
        <w:ind w:leftChars="22" w:left="53" w:firstLineChars="0" w:firstLine="0"/>
        <w:jc w:val="both"/>
        <w:rPr>
          <w:rFonts w:ascii="標楷體" w:hAnsi="標楷體" w:cs="細明體" w:hint="eastAsia"/>
          <w:sz w:val="26"/>
          <w:szCs w:val="26"/>
        </w:rPr>
      </w:pPr>
      <w:r>
        <w:rPr>
          <w:rFonts w:ascii="標楷體" w:hAnsi="標楷體" w:cs="細明體" w:hint="eastAsia"/>
          <w:sz w:val="26"/>
          <w:szCs w:val="26"/>
        </w:rPr>
        <w:t>十一、國民中小學學生修業期滿，符合下列規定者，為成績及格由學校發給畢業證書；</w:t>
      </w:r>
    </w:p>
    <w:p w:rsidR="00D26908" w:rsidRDefault="00D26908">
      <w:pPr>
        <w:pStyle w:val="2"/>
        <w:adjustRightInd w:val="0"/>
        <w:snapToGrid w:val="0"/>
        <w:spacing w:line="500" w:lineRule="exact"/>
        <w:ind w:leftChars="22" w:left="53" w:firstLineChars="0" w:firstLine="0"/>
        <w:jc w:val="both"/>
        <w:rPr>
          <w:rFonts w:ascii="標楷體" w:hAnsi="標楷體" w:cs="細明體" w:hint="eastAsia"/>
          <w:sz w:val="26"/>
          <w:szCs w:val="26"/>
        </w:rPr>
      </w:pPr>
      <w:r>
        <w:rPr>
          <w:rFonts w:ascii="標楷體" w:hAnsi="標楷體" w:cs="細明體" w:hint="eastAsia"/>
          <w:sz w:val="26"/>
          <w:szCs w:val="26"/>
        </w:rPr>
        <w:t xml:space="preserve">　　　未達畢業標準者，發給修業證明書：</w:t>
      </w:r>
    </w:p>
    <w:p w:rsidR="00D26908" w:rsidRDefault="00D26908">
      <w:pPr>
        <w:pStyle w:val="2"/>
        <w:adjustRightInd w:val="0"/>
        <w:snapToGrid w:val="0"/>
        <w:spacing w:line="500" w:lineRule="exact"/>
        <w:ind w:leftChars="22" w:left="53" w:firstLineChars="0" w:firstLine="0"/>
        <w:jc w:val="both"/>
        <w:rPr>
          <w:rFonts w:ascii="標楷體" w:hAnsi="標楷體" w:cs="細明體" w:hint="eastAsia"/>
          <w:sz w:val="26"/>
          <w:szCs w:val="26"/>
        </w:rPr>
      </w:pPr>
      <w:r>
        <w:rPr>
          <w:rFonts w:ascii="標楷體" w:hAnsi="標楷體" w:cs="細明體" w:hint="eastAsia"/>
          <w:sz w:val="26"/>
          <w:szCs w:val="26"/>
        </w:rPr>
        <w:t xml:space="preserve">　　　(一)學習期間扣除學校核可之公、喪、病假，上課總出席率至少達三分之二以　</w:t>
      </w:r>
    </w:p>
    <w:p w:rsidR="00D26908" w:rsidRDefault="00D26908">
      <w:pPr>
        <w:pStyle w:val="2"/>
        <w:adjustRightInd w:val="0"/>
        <w:snapToGrid w:val="0"/>
        <w:spacing w:line="500" w:lineRule="exact"/>
        <w:ind w:leftChars="22" w:left="53" w:firstLineChars="0" w:firstLine="0"/>
        <w:jc w:val="both"/>
        <w:rPr>
          <w:rFonts w:ascii="標楷體" w:hAnsi="標楷體" w:cs="細明體" w:hint="eastAsia"/>
          <w:sz w:val="26"/>
          <w:szCs w:val="26"/>
        </w:rPr>
      </w:pPr>
      <w:r>
        <w:rPr>
          <w:rFonts w:ascii="標楷體" w:hAnsi="標楷體" w:cs="細明體" w:hint="eastAsia"/>
          <w:sz w:val="26"/>
          <w:szCs w:val="26"/>
        </w:rPr>
        <w:t xml:space="preserve">　　　　　上，且經獎懲抵銷後，未滿三大過。</w:t>
      </w:r>
    </w:p>
    <w:p w:rsidR="00D26908" w:rsidRDefault="00D26908">
      <w:pPr>
        <w:pStyle w:val="2"/>
        <w:adjustRightInd w:val="0"/>
        <w:snapToGrid w:val="0"/>
        <w:spacing w:line="500" w:lineRule="exact"/>
        <w:ind w:leftChars="0" w:firstLineChars="0" w:firstLine="0"/>
        <w:jc w:val="both"/>
        <w:rPr>
          <w:rFonts w:ascii="標楷體" w:hAnsi="標楷體" w:cs="細明體" w:hint="eastAsia"/>
          <w:sz w:val="26"/>
          <w:szCs w:val="26"/>
        </w:rPr>
      </w:pPr>
      <w:r>
        <w:rPr>
          <w:rFonts w:ascii="標楷體" w:hAnsi="標楷體" w:cs="細明體" w:hint="eastAsia"/>
          <w:sz w:val="26"/>
          <w:szCs w:val="26"/>
        </w:rPr>
        <w:t xml:space="preserve">　　　(二)七大學習領域有四大學習領域以上畢業總平均成績丙等以上。</w:t>
      </w:r>
    </w:p>
    <w:p w:rsidR="00D26908" w:rsidRPr="001570EE" w:rsidRDefault="00D26908">
      <w:pPr>
        <w:pStyle w:val="2"/>
        <w:adjustRightInd w:val="0"/>
        <w:snapToGrid w:val="0"/>
        <w:spacing w:line="500" w:lineRule="exact"/>
        <w:ind w:leftChars="100" w:left="1020" w:hangingChars="300" w:hanging="780"/>
        <w:jc w:val="both"/>
        <w:rPr>
          <w:rFonts w:ascii="標楷體" w:hAnsi="標楷體" w:cs="細明體" w:hint="eastAsia"/>
          <w:sz w:val="26"/>
          <w:szCs w:val="26"/>
          <w:highlight w:val="yellow"/>
        </w:rPr>
      </w:pPr>
      <w:r>
        <w:rPr>
          <w:rFonts w:ascii="標楷體" w:hAnsi="標楷體" w:cs="細明體" w:hint="eastAsia"/>
          <w:sz w:val="26"/>
          <w:szCs w:val="26"/>
        </w:rPr>
        <w:t xml:space="preserve">　　　　前項規定，</w:t>
      </w:r>
      <w:r w:rsidRPr="001570EE">
        <w:rPr>
          <w:rFonts w:ascii="標楷體" w:hAnsi="標楷體" w:cs="細明體" w:hint="eastAsia"/>
          <w:sz w:val="26"/>
          <w:szCs w:val="26"/>
          <w:highlight w:val="yellow"/>
        </w:rPr>
        <w:t>自</w:t>
      </w:r>
      <w:smartTag w:uri="urn:schemas-microsoft-com:office:smarttags" w:element="chsdate">
        <w:smartTagPr>
          <w:attr w:name="IsROCDate" w:val="True"/>
          <w:attr w:name="IsLunarDate" w:val="False"/>
          <w:attr w:name="Day" w:val="1"/>
          <w:attr w:name="Month" w:val="8"/>
          <w:attr w:name="Year" w:val="2012"/>
        </w:smartTagPr>
        <w:r w:rsidRPr="001570EE">
          <w:rPr>
            <w:rFonts w:ascii="標楷體" w:hAnsi="標楷體" w:cs="細明體" w:hint="eastAsia"/>
            <w:sz w:val="26"/>
            <w:szCs w:val="26"/>
            <w:highlight w:val="yellow"/>
          </w:rPr>
          <w:t>中華民國一百零一年八月一日</w:t>
        </w:r>
      </w:smartTag>
      <w:r w:rsidRPr="001570EE">
        <w:rPr>
          <w:rFonts w:ascii="標楷體" w:hAnsi="標楷體" w:cs="細明體" w:hint="eastAsia"/>
          <w:sz w:val="26"/>
          <w:szCs w:val="26"/>
          <w:highlight w:val="yellow"/>
        </w:rPr>
        <w:t>以後入學國民中小學之學生適用</w:t>
      </w:r>
    </w:p>
    <w:p w:rsidR="00D26908" w:rsidRDefault="00D26908">
      <w:pPr>
        <w:pStyle w:val="2"/>
        <w:adjustRightInd w:val="0"/>
        <w:snapToGrid w:val="0"/>
        <w:spacing w:line="500" w:lineRule="exact"/>
        <w:ind w:leftChars="99" w:left="1317" w:hangingChars="415" w:hanging="1079"/>
        <w:jc w:val="both"/>
        <w:rPr>
          <w:rFonts w:ascii="標楷體" w:hAnsi="標楷體" w:cs="細明體" w:hint="eastAsia"/>
          <w:sz w:val="26"/>
          <w:szCs w:val="26"/>
        </w:rPr>
      </w:pPr>
      <w:r w:rsidRPr="001570EE">
        <w:rPr>
          <w:rFonts w:ascii="標楷體" w:hAnsi="標楷體" w:cs="細明體" w:hint="eastAsia"/>
          <w:sz w:val="26"/>
          <w:szCs w:val="26"/>
          <w:highlight w:val="yellow"/>
        </w:rPr>
        <w:t xml:space="preserve">　　　　之。</w:t>
      </w:r>
      <w:smartTag w:uri="urn:schemas-microsoft-com:office:smarttags" w:element="chsdate">
        <w:smartTagPr>
          <w:attr w:name="Year" w:val="2012"/>
          <w:attr w:name="Month" w:val="8"/>
          <w:attr w:name="Day" w:val="1"/>
          <w:attr w:name="IsLunarDate" w:val="False"/>
          <w:attr w:name="IsROCDate" w:val="True"/>
        </w:smartTagPr>
        <w:r w:rsidRPr="001570EE">
          <w:rPr>
            <w:rFonts w:ascii="標楷體" w:hAnsi="標楷體" w:cs="細明體" w:hint="eastAsia"/>
            <w:sz w:val="26"/>
            <w:szCs w:val="26"/>
            <w:highlight w:val="yellow"/>
          </w:rPr>
          <w:t>中華民國一百零一年八月一日</w:t>
        </w:r>
      </w:smartTag>
      <w:r w:rsidRPr="001570EE">
        <w:rPr>
          <w:rFonts w:ascii="標楷體" w:hAnsi="標楷體" w:cs="細明體" w:hint="eastAsia"/>
          <w:sz w:val="26"/>
          <w:szCs w:val="26"/>
          <w:highlight w:val="yellow"/>
        </w:rPr>
        <w:t>以前入學國民中小學之學生則依據原規定辦理。</w:t>
      </w:r>
    </w:p>
    <w:p w:rsidR="00D26908" w:rsidRDefault="00D26908">
      <w:pPr>
        <w:widowControl/>
        <w:adjustRightInd w:val="0"/>
        <w:snapToGrid w:val="0"/>
        <w:spacing w:line="500" w:lineRule="exact"/>
        <w:ind w:left="780" w:hangingChars="300" w:hanging="780"/>
        <w:jc w:val="both"/>
        <w:rPr>
          <w:rFonts w:ascii="標楷體" w:eastAsia="標楷體" w:hint="eastAsia"/>
          <w:sz w:val="26"/>
          <w:szCs w:val="26"/>
        </w:rPr>
      </w:pPr>
      <w:r>
        <w:rPr>
          <w:rFonts w:ascii="標楷體" w:eastAsia="標楷體" w:hint="eastAsia"/>
          <w:sz w:val="26"/>
          <w:szCs w:val="26"/>
        </w:rPr>
        <w:t>十二、</w:t>
      </w:r>
      <w:r>
        <w:rPr>
          <w:rFonts w:ascii="標楷體" w:eastAsia="標楷體" w:hint="eastAsia"/>
          <w:sz w:val="26"/>
          <w:szCs w:val="26"/>
        </w:rPr>
        <w:tab/>
        <w:t>有關非學校型態實驗教育及中輟生，其成績依新竹縣非學校型態之實驗教育實施辦法及新竹縣國民中小學中途輟學學生復學安置輔導及成績評量實施要點辦理。</w:t>
      </w:r>
    </w:p>
    <w:sectPr w:rsidR="00D26908">
      <w:footerReference w:type="even" r:id="rId7"/>
      <w:footerReference w:type="default" r:id="rId8"/>
      <w:pgSz w:w="11907" w:h="16840" w:code="9"/>
      <w:pgMar w:top="1440" w:right="1077" w:bottom="1078"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346" w:rsidRDefault="00BE1346">
      <w:r>
        <w:separator/>
      </w:r>
    </w:p>
  </w:endnote>
  <w:endnote w:type="continuationSeparator" w:id="0">
    <w:p w:rsidR="00BE1346" w:rsidRDefault="00BE1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908" w:rsidRDefault="00D2690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D26908" w:rsidRDefault="00D2690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908" w:rsidRDefault="00D2690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DA508F">
      <w:rPr>
        <w:rStyle w:val="a4"/>
        <w:noProof/>
      </w:rPr>
      <w:t>1</w:t>
    </w:r>
    <w:r>
      <w:rPr>
        <w:rStyle w:val="a4"/>
      </w:rPr>
      <w:fldChar w:fldCharType="end"/>
    </w:r>
  </w:p>
  <w:p w:rsidR="00D26908" w:rsidRDefault="00D2690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346" w:rsidRDefault="00BE1346">
      <w:r>
        <w:separator/>
      </w:r>
    </w:p>
  </w:footnote>
  <w:footnote w:type="continuationSeparator" w:id="0">
    <w:p w:rsidR="00BE1346" w:rsidRDefault="00BE13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237B6"/>
    <w:multiLevelType w:val="singleLevel"/>
    <w:tmpl w:val="1A3E10E0"/>
    <w:lvl w:ilvl="0">
      <w:start w:val="1"/>
      <w:numFmt w:val="taiwaneseCountingThousand"/>
      <w:lvlText w:val="%1、"/>
      <w:lvlJc w:val="left"/>
      <w:pPr>
        <w:tabs>
          <w:tab w:val="num" w:pos="1830"/>
        </w:tabs>
        <w:ind w:left="1830" w:hanging="570"/>
      </w:pPr>
      <w:rPr>
        <w:rFonts w:hint="eastAsia"/>
      </w:rPr>
    </w:lvl>
  </w:abstractNum>
  <w:abstractNum w:abstractNumId="1">
    <w:nsid w:val="0E545879"/>
    <w:multiLevelType w:val="singleLevel"/>
    <w:tmpl w:val="BF26A81C"/>
    <w:lvl w:ilvl="0">
      <w:start w:val="1"/>
      <w:numFmt w:val="taiwaneseCountingThousand"/>
      <w:lvlText w:val="%1、"/>
      <w:lvlJc w:val="left"/>
      <w:pPr>
        <w:tabs>
          <w:tab w:val="num" w:pos="1830"/>
        </w:tabs>
        <w:ind w:left="1830" w:hanging="570"/>
      </w:pPr>
      <w:rPr>
        <w:rFonts w:hint="eastAsia"/>
      </w:rPr>
    </w:lvl>
  </w:abstractNum>
  <w:abstractNum w:abstractNumId="2">
    <w:nsid w:val="1AA30879"/>
    <w:multiLevelType w:val="singleLevel"/>
    <w:tmpl w:val="6B843FF6"/>
    <w:lvl w:ilvl="0">
      <w:start w:val="1"/>
      <w:numFmt w:val="taiwaneseCountingThousand"/>
      <w:lvlText w:val="（%1）"/>
      <w:lvlJc w:val="left"/>
      <w:pPr>
        <w:tabs>
          <w:tab w:val="num" w:pos="2685"/>
        </w:tabs>
        <w:ind w:left="2685" w:hanging="855"/>
      </w:pPr>
      <w:rPr>
        <w:rFonts w:hint="eastAsia"/>
      </w:rPr>
    </w:lvl>
  </w:abstractNum>
  <w:abstractNum w:abstractNumId="3">
    <w:nsid w:val="415A55ED"/>
    <w:multiLevelType w:val="singleLevel"/>
    <w:tmpl w:val="4A4C9618"/>
    <w:lvl w:ilvl="0">
      <w:start w:val="1"/>
      <w:numFmt w:val="taiwaneseCountingThousand"/>
      <w:lvlText w:val="第%1條"/>
      <w:lvlJc w:val="left"/>
      <w:pPr>
        <w:tabs>
          <w:tab w:val="num" w:pos="1380"/>
        </w:tabs>
        <w:ind w:left="1380" w:hanging="1260"/>
      </w:pPr>
      <w:rPr>
        <w:rFonts w:hint="eastAsia"/>
      </w:rPr>
    </w:lvl>
  </w:abstractNum>
  <w:abstractNum w:abstractNumId="4">
    <w:nsid w:val="47CF0369"/>
    <w:multiLevelType w:val="singleLevel"/>
    <w:tmpl w:val="2722B860"/>
    <w:lvl w:ilvl="0">
      <w:start w:val="1"/>
      <w:numFmt w:val="taiwaneseCountingThousand"/>
      <w:lvlText w:val="%1、"/>
      <w:lvlJc w:val="left"/>
      <w:pPr>
        <w:tabs>
          <w:tab w:val="num" w:pos="1830"/>
        </w:tabs>
        <w:ind w:left="1830" w:hanging="570"/>
      </w:pPr>
      <w:rPr>
        <w:rFonts w:hint="eastAsia"/>
      </w:rPr>
    </w:lvl>
  </w:abstractNum>
  <w:abstractNum w:abstractNumId="5">
    <w:nsid w:val="4FB17B8D"/>
    <w:multiLevelType w:val="singleLevel"/>
    <w:tmpl w:val="581A36DE"/>
    <w:lvl w:ilvl="0">
      <w:start w:val="1"/>
      <w:numFmt w:val="taiwaneseCountingThousand"/>
      <w:lvlText w:val="%1、"/>
      <w:lvlJc w:val="left"/>
      <w:pPr>
        <w:tabs>
          <w:tab w:val="num" w:pos="570"/>
        </w:tabs>
        <w:ind w:left="570" w:hanging="570"/>
      </w:pPr>
      <w:rPr>
        <w:rFonts w:hint="eastAsia"/>
      </w:rPr>
    </w:lvl>
  </w:abstractNum>
  <w:abstractNum w:abstractNumId="6">
    <w:nsid w:val="52EF5644"/>
    <w:multiLevelType w:val="hybridMultilevel"/>
    <w:tmpl w:val="E28CCB7E"/>
    <w:lvl w:ilvl="0" w:tplc="5A8AC8B8">
      <w:start w:val="1"/>
      <w:numFmt w:val="taiwaneseCountingThousand"/>
      <w:lvlText w:val="（%1）"/>
      <w:lvlJc w:val="left"/>
      <w:pPr>
        <w:tabs>
          <w:tab w:val="num" w:pos="1064"/>
        </w:tabs>
        <w:ind w:left="1064" w:hanging="780"/>
      </w:pPr>
      <w:rPr>
        <w:rFonts w:hint="default"/>
      </w:rPr>
    </w:lvl>
    <w:lvl w:ilvl="1" w:tplc="04090019" w:tentative="1">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7">
    <w:nsid w:val="55AC71FB"/>
    <w:multiLevelType w:val="singleLevel"/>
    <w:tmpl w:val="FF3A1DA2"/>
    <w:lvl w:ilvl="0">
      <w:start w:val="1"/>
      <w:numFmt w:val="taiwaneseCountingThousand"/>
      <w:lvlText w:val="%1、"/>
      <w:lvlJc w:val="left"/>
      <w:pPr>
        <w:tabs>
          <w:tab w:val="num" w:pos="1830"/>
        </w:tabs>
        <w:ind w:left="1830" w:hanging="570"/>
      </w:pPr>
      <w:rPr>
        <w:rFonts w:hint="eastAsia"/>
      </w:rPr>
    </w:lvl>
  </w:abstractNum>
  <w:abstractNum w:abstractNumId="8">
    <w:nsid w:val="622565D7"/>
    <w:multiLevelType w:val="singleLevel"/>
    <w:tmpl w:val="5B147510"/>
    <w:lvl w:ilvl="0">
      <w:start w:val="1"/>
      <w:numFmt w:val="taiwaneseCountingThousand"/>
      <w:lvlText w:val="（%1）"/>
      <w:lvlJc w:val="left"/>
      <w:pPr>
        <w:tabs>
          <w:tab w:val="num" w:pos="2550"/>
        </w:tabs>
        <w:ind w:left="2550" w:hanging="870"/>
      </w:pPr>
      <w:rPr>
        <w:rFonts w:hint="eastAsia"/>
      </w:rPr>
    </w:lvl>
  </w:abstractNum>
  <w:abstractNum w:abstractNumId="9">
    <w:nsid w:val="723933F6"/>
    <w:multiLevelType w:val="singleLevel"/>
    <w:tmpl w:val="32847C1C"/>
    <w:lvl w:ilvl="0">
      <w:start w:val="1"/>
      <w:numFmt w:val="taiwaneseCountingThousand"/>
      <w:lvlText w:val="%1、"/>
      <w:lvlJc w:val="left"/>
      <w:pPr>
        <w:tabs>
          <w:tab w:val="num" w:pos="1830"/>
        </w:tabs>
        <w:ind w:left="1830" w:hanging="570"/>
      </w:pPr>
      <w:rPr>
        <w:rFonts w:hint="eastAsia"/>
      </w:rPr>
    </w:lvl>
  </w:abstractNum>
  <w:abstractNum w:abstractNumId="10">
    <w:nsid w:val="72921092"/>
    <w:multiLevelType w:val="singleLevel"/>
    <w:tmpl w:val="B99C082C"/>
    <w:lvl w:ilvl="0">
      <w:start w:val="12"/>
      <w:numFmt w:val="taiwaneseCountingThousand"/>
      <w:lvlText w:val="%1、"/>
      <w:lvlJc w:val="left"/>
      <w:pPr>
        <w:tabs>
          <w:tab w:val="num" w:pos="2115"/>
        </w:tabs>
        <w:ind w:left="2115" w:hanging="855"/>
      </w:pPr>
      <w:rPr>
        <w:rFonts w:hint="eastAsia"/>
      </w:rPr>
    </w:lvl>
  </w:abstractNum>
  <w:abstractNum w:abstractNumId="11">
    <w:nsid w:val="76933768"/>
    <w:multiLevelType w:val="singleLevel"/>
    <w:tmpl w:val="A1F80E42"/>
    <w:lvl w:ilvl="0">
      <w:start w:val="1"/>
      <w:numFmt w:val="taiwaneseCountingThousand"/>
      <w:lvlText w:val="（%1）"/>
      <w:lvlJc w:val="left"/>
      <w:pPr>
        <w:tabs>
          <w:tab w:val="num" w:pos="2385"/>
        </w:tabs>
        <w:ind w:left="2385" w:hanging="855"/>
      </w:pPr>
      <w:rPr>
        <w:rFonts w:hint="eastAsia"/>
      </w:rPr>
    </w:lvl>
  </w:abstractNum>
  <w:abstractNum w:abstractNumId="12">
    <w:nsid w:val="76AA25A5"/>
    <w:multiLevelType w:val="singleLevel"/>
    <w:tmpl w:val="B728F5B6"/>
    <w:lvl w:ilvl="0">
      <w:start w:val="1"/>
      <w:numFmt w:val="taiwaneseCountingThousand"/>
      <w:lvlText w:val="%1、"/>
      <w:lvlJc w:val="left"/>
      <w:pPr>
        <w:tabs>
          <w:tab w:val="num" w:pos="1830"/>
        </w:tabs>
        <w:ind w:left="1830" w:hanging="570"/>
      </w:pPr>
      <w:rPr>
        <w:rFonts w:hint="eastAsia"/>
      </w:rPr>
    </w:lvl>
  </w:abstractNum>
  <w:abstractNum w:abstractNumId="13">
    <w:nsid w:val="7DD413A3"/>
    <w:multiLevelType w:val="singleLevel"/>
    <w:tmpl w:val="04BAB9E4"/>
    <w:lvl w:ilvl="0">
      <w:start w:val="1"/>
      <w:numFmt w:val="taiwaneseCountingThousand"/>
      <w:lvlText w:val="%1、"/>
      <w:lvlJc w:val="left"/>
      <w:pPr>
        <w:tabs>
          <w:tab w:val="num" w:pos="1830"/>
        </w:tabs>
        <w:ind w:left="1830" w:hanging="570"/>
      </w:pPr>
      <w:rPr>
        <w:rFonts w:hint="eastAsia"/>
      </w:rPr>
    </w:lvl>
  </w:abstractNum>
  <w:num w:numId="1">
    <w:abstractNumId w:val="3"/>
  </w:num>
  <w:num w:numId="2">
    <w:abstractNumId w:val="4"/>
  </w:num>
  <w:num w:numId="3">
    <w:abstractNumId w:val="9"/>
  </w:num>
  <w:num w:numId="4">
    <w:abstractNumId w:val="10"/>
  </w:num>
  <w:num w:numId="5">
    <w:abstractNumId w:val="12"/>
  </w:num>
  <w:num w:numId="6">
    <w:abstractNumId w:val="13"/>
  </w:num>
  <w:num w:numId="7">
    <w:abstractNumId w:val="11"/>
  </w:num>
  <w:num w:numId="8">
    <w:abstractNumId w:val="2"/>
  </w:num>
  <w:num w:numId="9">
    <w:abstractNumId w:val="0"/>
  </w:num>
  <w:num w:numId="10">
    <w:abstractNumId w:val="7"/>
  </w:num>
  <w:num w:numId="11">
    <w:abstractNumId w:val="1"/>
  </w:num>
  <w:num w:numId="12">
    <w:abstractNumId w:val="8"/>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4E66"/>
    <w:rsid w:val="001570EE"/>
    <w:rsid w:val="005428AB"/>
    <w:rsid w:val="007E4E66"/>
    <w:rsid w:val="008B378D"/>
    <w:rsid w:val="009E03D3"/>
    <w:rsid w:val="00B53364"/>
    <w:rsid w:val="00BE1346"/>
    <w:rsid w:val="00D26908"/>
    <w:rsid w:val="00DA508F"/>
    <w:rsid w:val="00E202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153"/>
        <w:tab w:val="right" w:pos="8306"/>
      </w:tabs>
      <w:snapToGrid w:val="0"/>
    </w:pPr>
    <w:rPr>
      <w:sz w:val="20"/>
    </w:rPr>
  </w:style>
  <w:style w:type="character" w:styleId="a4">
    <w:name w:val="page number"/>
    <w:basedOn w:val="a0"/>
  </w:style>
  <w:style w:type="paragraph" w:styleId="2">
    <w:name w:val="Body Text Indent 2"/>
    <w:basedOn w:val="a"/>
    <w:pPr>
      <w:widowControl/>
      <w:ind w:leftChars="200" w:hangingChars="400" w:hanging="960"/>
    </w:pPr>
    <w:rPr>
      <w:rFonts w:eastAsia="標楷體"/>
      <w:kern w:val="0"/>
      <w:szCs w:val="24"/>
    </w:rPr>
  </w:style>
  <w:style w:type="paragraph" w:styleId="3">
    <w:name w:val="Body Text Indent 3"/>
    <w:basedOn w:val="a"/>
    <w:pPr>
      <w:spacing w:after="120"/>
      <w:ind w:leftChars="200" w:left="480"/>
    </w:pPr>
    <w:rPr>
      <w:sz w:val="16"/>
      <w:szCs w:val="16"/>
    </w:rPr>
  </w:style>
  <w:style w:type="paragraph" w:styleId="a5">
    <w:name w:val="Body Text Indent"/>
    <w:basedOn w:val="a"/>
    <w:pPr>
      <w:snapToGrid w:val="0"/>
      <w:spacing w:line="500" w:lineRule="exact"/>
      <w:ind w:left="390" w:hangingChars="150" w:hanging="390"/>
      <w:jc w:val="both"/>
    </w:pPr>
    <w:rPr>
      <w:rFonts w:ascii="標楷體" w:eastAsia="標楷體" w:hAnsi="標楷體"/>
      <w:sz w:val="26"/>
      <w:szCs w:val="26"/>
    </w:rPr>
  </w:style>
  <w:style w:type="paragraph" w:styleId="a6">
    <w:name w:val="header"/>
    <w:basedOn w:val="a"/>
    <w:link w:val="a7"/>
    <w:rsid w:val="001570EE"/>
    <w:pPr>
      <w:tabs>
        <w:tab w:val="center" w:pos="4153"/>
        <w:tab w:val="right" w:pos="8306"/>
      </w:tabs>
      <w:snapToGrid w:val="0"/>
    </w:pPr>
    <w:rPr>
      <w:sz w:val="20"/>
    </w:rPr>
  </w:style>
  <w:style w:type="character" w:customStyle="1" w:styleId="a7">
    <w:name w:val="頁首 字元"/>
    <w:link w:val="a6"/>
    <w:rsid w:val="001570EE"/>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233</Words>
  <Characters>1329</Characters>
  <Application>Microsoft Office Word</Application>
  <DocSecurity>0</DocSecurity>
  <Lines>11</Lines>
  <Paragraphs>3</Paragraphs>
  <ScaleCrop>false</ScaleCrop>
  <Company>橫山國中</Company>
  <LinksUpToDate>false</LinksUpToDate>
  <CharactersWithSpaces>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新竹縣國民中小學學生成績評量辦法</dc:title>
  <dc:creator>AE2210</dc:creator>
  <cp:lastModifiedBy>AE2210</cp:lastModifiedBy>
  <cp:revision>1</cp:revision>
  <cp:lastPrinted>2012-10-09T05:36:00Z</cp:lastPrinted>
  <dcterms:created xsi:type="dcterms:W3CDTF">2013-10-26T12:12:00Z</dcterms:created>
  <dcterms:modified xsi:type="dcterms:W3CDTF">2013-10-26T12:13:00Z</dcterms:modified>
</cp:coreProperties>
</file>